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92B03"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4C841A4F" w14:textId="77777777" w:rsidR="00B87695" w:rsidRDefault="00B87695" w:rsidP="00BE1FD4">
      <w:pPr>
        <w:rPr>
          <w:rFonts w:ascii="Arial" w:hAnsi="Arial" w:cs="Arial"/>
          <w:b/>
        </w:rPr>
      </w:pPr>
    </w:p>
    <w:tbl>
      <w:tblPr>
        <w:tblStyle w:val="TableGrid"/>
        <w:tblW w:w="9924" w:type="dxa"/>
        <w:tblInd w:w="-318" w:type="dxa"/>
        <w:tblLook w:val="04A0" w:firstRow="1" w:lastRow="0" w:firstColumn="1" w:lastColumn="0" w:noHBand="0" w:noVBand="1"/>
      </w:tblPr>
      <w:tblGrid>
        <w:gridCol w:w="2865"/>
        <w:gridCol w:w="7059"/>
      </w:tblGrid>
      <w:tr w:rsidR="006F6326" w14:paraId="7E7C1675" w14:textId="77777777" w:rsidTr="00906B19">
        <w:tc>
          <w:tcPr>
            <w:tcW w:w="2865" w:type="dxa"/>
          </w:tcPr>
          <w:p w14:paraId="584F888B"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7059" w:type="dxa"/>
          </w:tcPr>
          <w:p w14:paraId="7E3626D1" w14:textId="77777777" w:rsidR="00B87695" w:rsidRPr="00A96C08" w:rsidRDefault="000B4FDD" w:rsidP="008A22C6">
            <w:pPr>
              <w:rPr>
                <w:rFonts w:ascii="Arial" w:hAnsi="Arial" w:cs="Arial"/>
              </w:rPr>
            </w:pPr>
            <w:proofErr w:type="spellStart"/>
            <w:r>
              <w:rPr>
                <w:rFonts w:ascii="Arial" w:hAnsi="Arial" w:cs="Arial"/>
              </w:rPr>
              <w:t>Hinksey</w:t>
            </w:r>
            <w:proofErr w:type="spellEnd"/>
            <w:r>
              <w:rPr>
                <w:rFonts w:ascii="Arial" w:hAnsi="Arial" w:cs="Arial"/>
              </w:rPr>
              <w:t xml:space="preserve"> Outdoor Heated pool cover</w:t>
            </w:r>
          </w:p>
        </w:tc>
      </w:tr>
      <w:tr w:rsidR="006F6326" w14:paraId="0201EDD2" w14:textId="77777777" w:rsidTr="00906B19">
        <w:tc>
          <w:tcPr>
            <w:tcW w:w="2865" w:type="dxa"/>
          </w:tcPr>
          <w:p w14:paraId="7976947D"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7059" w:type="dxa"/>
          </w:tcPr>
          <w:p w14:paraId="552B87B4" w14:textId="51AAFF7C" w:rsidR="00263039" w:rsidRPr="00A96C08" w:rsidRDefault="000B4FDD" w:rsidP="002C46A6">
            <w:pPr>
              <w:rPr>
                <w:rFonts w:ascii="Arial" w:hAnsi="Arial" w:cs="Arial"/>
              </w:rPr>
            </w:pPr>
            <w:r>
              <w:rPr>
                <w:rFonts w:ascii="Arial" w:hAnsi="Arial" w:cs="Arial"/>
              </w:rPr>
              <w:t>1</w:t>
            </w:r>
            <w:r w:rsidR="002C46A6">
              <w:rPr>
                <w:rFonts w:ascii="Arial" w:hAnsi="Arial" w:cs="Arial"/>
              </w:rPr>
              <w:t xml:space="preserve"> December </w:t>
            </w:r>
            <w:r>
              <w:rPr>
                <w:rFonts w:ascii="Arial" w:hAnsi="Arial" w:cs="Arial"/>
              </w:rPr>
              <w:t>2021</w:t>
            </w:r>
          </w:p>
        </w:tc>
      </w:tr>
      <w:tr w:rsidR="00854133" w14:paraId="7276EBEE" w14:textId="77777777" w:rsidTr="00906B19">
        <w:tc>
          <w:tcPr>
            <w:tcW w:w="2865" w:type="dxa"/>
          </w:tcPr>
          <w:p w14:paraId="1F0D3435" w14:textId="62FB587A" w:rsidR="00854133" w:rsidRPr="00854133" w:rsidRDefault="00854133" w:rsidP="00906B19">
            <w:pPr>
              <w:spacing w:before="120" w:after="120"/>
              <w:rPr>
                <w:rFonts w:ascii="Arial" w:hAnsi="Arial" w:cs="Arial"/>
              </w:rPr>
            </w:pPr>
            <w:r>
              <w:rPr>
                <w:rFonts w:ascii="Arial" w:hAnsi="Arial" w:cs="Arial"/>
                <w:b/>
              </w:rPr>
              <w:t xml:space="preserve">Source of delegation: </w:t>
            </w:r>
          </w:p>
        </w:tc>
        <w:tc>
          <w:tcPr>
            <w:tcW w:w="7059" w:type="dxa"/>
          </w:tcPr>
          <w:p w14:paraId="1C0166E7" w14:textId="77777777" w:rsidR="002C46A6" w:rsidRDefault="005A23C4" w:rsidP="00B25674">
            <w:pPr>
              <w:rPr>
                <w:rFonts w:ascii="Arial" w:hAnsi="Arial" w:cs="Arial"/>
              </w:rPr>
            </w:pPr>
            <w:r w:rsidRPr="00C017CA">
              <w:rPr>
                <w:rFonts w:ascii="Arial" w:hAnsi="Arial" w:cs="Arial"/>
              </w:rPr>
              <w:t>Part 4.4 of the Council’s Constitution (general delegation to officers in t</w:t>
            </w:r>
            <w:r w:rsidR="002C46A6">
              <w:rPr>
                <w:rFonts w:ascii="Arial" w:hAnsi="Arial" w:cs="Arial"/>
              </w:rPr>
              <w:t>he senior management structure):</w:t>
            </w:r>
          </w:p>
          <w:p w14:paraId="22AAC0FE" w14:textId="77777777" w:rsidR="002C46A6" w:rsidRDefault="002C46A6" w:rsidP="00B25674">
            <w:pPr>
              <w:rPr>
                <w:rFonts w:ascii="Arial" w:hAnsi="Arial" w:cs="Arial"/>
              </w:rPr>
            </w:pPr>
          </w:p>
          <w:p w14:paraId="5898A175" w14:textId="5F103EEA" w:rsidR="004A049B" w:rsidRPr="00E20A54" w:rsidRDefault="002C46A6" w:rsidP="00B25674">
            <w:pPr>
              <w:rPr>
                <w:rFonts w:ascii="Arial" w:hAnsi="Arial" w:cs="Arial"/>
              </w:rPr>
            </w:pPr>
            <w:r w:rsidRPr="002C46A6">
              <w:rPr>
                <w:rFonts w:ascii="Arial" w:hAnsi="Arial" w:cs="Arial"/>
              </w:rPr>
              <w:t>All executive functions except the ones in Part 4.5, 4.6, and 4.7 are delegated to</w:t>
            </w:r>
            <w:r>
              <w:rPr>
                <w:rFonts w:ascii="Arial" w:hAnsi="Arial" w:cs="Arial"/>
              </w:rPr>
              <w:t xml:space="preserve"> </w:t>
            </w:r>
            <w:r w:rsidRPr="002C46A6">
              <w:rPr>
                <w:rFonts w:ascii="Arial" w:hAnsi="Arial" w:cs="Arial"/>
              </w:rPr>
              <w:t>the officers in the senior management structure (Part 9.1 and Part 9: Annex 1).</w:t>
            </w:r>
          </w:p>
        </w:tc>
      </w:tr>
      <w:tr w:rsidR="00B87695" w14:paraId="6A7E2086" w14:textId="77777777" w:rsidTr="00906B19">
        <w:tc>
          <w:tcPr>
            <w:tcW w:w="2865" w:type="dxa"/>
          </w:tcPr>
          <w:p w14:paraId="5745EEEA" w14:textId="01A4B482" w:rsidR="003B1236" w:rsidRPr="00B87695" w:rsidRDefault="00854133" w:rsidP="00906B19">
            <w:pPr>
              <w:spacing w:before="120" w:after="120"/>
              <w:rPr>
                <w:rFonts w:ascii="Arial" w:hAnsi="Arial" w:cs="Arial"/>
                <w:b/>
              </w:rPr>
            </w:pPr>
            <w:r w:rsidRPr="00BE1FD4">
              <w:rPr>
                <w:rFonts w:ascii="Arial" w:hAnsi="Arial" w:cs="Arial"/>
                <w:b/>
              </w:rPr>
              <w:t>What decision was made?</w:t>
            </w:r>
          </w:p>
        </w:tc>
        <w:tc>
          <w:tcPr>
            <w:tcW w:w="7059" w:type="dxa"/>
          </w:tcPr>
          <w:p w14:paraId="30EB5EC0" w14:textId="77777777" w:rsidR="002B5E95" w:rsidRPr="002B5E95" w:rsidRDefault="000B4FDD" w:rsidP="002B5E95">
            <w:pPr>
              <w:pStyle w:val="Default"/>
              <w:adjustRightInd/>
              <w:rPr>
                <w:color w:val="auto"/>
              </w:rPr>
            </w:pPr>
            <w:r w:rsidRPr="002B5E95">
              <w:t xml:space="preserve">The decision was made to progress with installation of a pool cover at </w:t>
            </w:r>
            <w:proofErr w:type="spellStart"/>
            <w:r w:rsidRPr="002B5E95">
              <w:t>Hinksey</w:t>
            </w:r>
            <w:proofErr w:type="spellEnd"/>
            <w:r w:rsidRPr="002B5E95">
              <w:t xml:space="preserve"> Outdoor Heated Pool – to be delivered as part of the decarbonisation works programme being managed by Willmott</w:t>
            </w:r>
            <w:r w:rsidR="005A23C4">
              <w:t xml:space="preserve"> </w:t>
            </w:r>
            <w:r w:rsidRPr="002B5E95">
              <w:t xml:space="preserve">Dixon </w:t>
            </w:r>
            <w:r w:rsidR="002B5E95" w:rsidRPr="002B5E95">
              <w:rPr>
                <w:color w:val="auto"/>
              </w:rPr>
              <w:t xml:space="preserve">and provide </w:t>
            </w:r>
            <w:r w:rsidR="002B5E95">
              <w:rPr>
                <w:color w:val="auto"/>
              </w:rPr>
              <w:t xml:space="preserve">safety/security </w:t>
            </w:r>
            <w:r w:rsidR="002B5E95" w:rsidRPr="002B5E95">
              <w:rPr>
                <w:color w:val="auto"/>
              </w:rPr>
              <w:t>mitigation through:</w:t>
            </w:r>
          </w:p>
          <w:p w14:paraId="509EBA20" w14:textId="77777777" w:rsidR="002B5E95" w:rsidRPr="002B5E95" w:rsidRDefault="002B5E95" w:rsidP="002B5E95">
            <w:pPr>
              <w:pStyle w:val="Default"/>
              <w:numPr>
                <w:ilvl w:val="1"/>
                <w:numId w:val="8"/>
              </w:numPr>
              <w:adjustRightInd/>
              <w:rPr>
                <w:color w:val="auto"/>
              </w:rPr>
            </w:pPr>
            <w:r w:rsidRPr="002B5E95">
              <w:rPr>
                <w:color w:val="auto"/>
              </w:rPr>
              <w:t>Higher security fencing in an area where there have been regular incursions</w:t>
            </w:r>
          </w:p>
          <w:p w14:paraId="74573750" w14:textId="77777777" w:rsidR="002B5E95" w:rsidRPr="002B5E95" w:rsidRDefault="002B5E95" w:rsidP="002B5E95">
            <w:pPr>
              <w:pStyle w:val="Default"/>
              <w:numPr>
                <w:ilvl w:val="1"/>
                <w:numId w:val="8"/>
              </w:numPr>
              <w:adjustRightInd/>
              <w:rPr>
                <w:color w:val="auto"/>
              </w:rPr>
            </w:pPr>
            <w:r w:rsidRPr="002B5E95">
              <w:rPr>
                <w:color w:val="auto"/>
              </w:rPr>
              <w:t>Signage externally and in the pool area highlighting risks</w:t>
            </w:r>
          </w:p>
          <w:p w14:paraId="50F1E229" w14:textId="77777777" w:rsidR="006247C4" w:rsidRPr="00A96C08" w:rsidRDefault="005A23C4" w:rsidP="005A23C4">
            <w:pPr>
              <w:pStyle w:val="Default"/>
              <w:numPr>
                <w:ilvl w:val="1"/>
                <w:numId w:val="8"/>
              </w:numPr>
              <w:adjustRightInd/>
            </w:pPr>
            <w:r>
              <w:rPr>
                <w:color w:val="auto"/>
              </w:rPr>
              <w:t>Provision of f</w:t>
            </w:r>
            <w:r w:rsidR="002B5E95" w:rsidRPr="002B5E95">
              <w:rPr>
                <w:color w:val="auto"/>
              </w:rPr>
              <w:t>lood lighting</w:t>
            </w:r>
          </w:p>
        </w:tc>
        <w:bookmarkStart w:id="0" w:name="LastEdit"/>
        <w:bookmarkEnd w:id="0"/>
      </w:tr>
      <w:tr w:rsidR="00373F5D" w14:paraId="77EB2C5B" w14:textId="77777777" w:rsidTr="00906B19">
        <w:tc>
          <w:tcPr>
            <w:tcW w:w="2865" w:type="dxa"/>
          </w:tcPr>
          <w:p w14:paraId="03B2A886" w14:textId="699DD2BF" w:rsidR="00373F5D" w:rsidRPr="00373F5D" w:rsidRDefault="00373F5D" w:rsidP="00906B19">
            <w:pPr>
              <w:spacing w:before="120" w:after="120"/>
              <w:rPr>
                <w:rFonts w:ascii="Arial" w:hAnsi="Arial" w:cs="Arial"/>
              </w:rPr>
            </w:pPr>
            <w:r>
              <w:rPr>
                <w:rFonts w:ascii="Arial" w:hAnsi="Arial" w:cs="Arial"/>
                <w:b/>
              </w:rPr>
              <w:t xml:space="preserve">Purpose: </w:t>
            </w:r>
          </w:p>
        </w:tc>
        <w:tc>
          <w:tcPr>
            <w:tcW w:w="7059" w:type="dxa"/>
          </w:tcPr>
          <w:p w14:paraId="77F7C91C" w14:textId="49A6ED4B" w:rsidR="00373F5D" w:rsidRPr="002B5E95" w:rsidRDefault="002B5E95" w:rsidP="00114B96">
            <w:pPr>
              <w:rPr>
                <w:rFonts w:ascii="Arial" w:hAnsi="Arial" w:cs="Arial"/>
              </w:rPr>
            </w:pPr>
            <w:r w:rsidRPr="002B5E95">
              <w:rPr>
                <w:rFonts w:ascii="Arial" w:hAnsi="Arial" w:cs="Arial"/>
              </w:rPr>
              <w:t xml:space="preserve">Addition of a pool cover will provide additional carbon reductions and energy running cost savings at </w:t>
            </w:r>
            <w:proofErr w:type="spellStart"/>
            <w:r w:rsidRPr="002B5E95">
              <w:rPr>
                <w:rFonts w:ascii="Arial" w:hAnsi="Arial" w:cs="Arial"/>
              </w:rPr>
              <w:t>Hinksey</w:t>
            </w:r>
            <w:proofErr w:type="spellEnd"/>
            <w:r w:rsidRPr="002B5E95">
              <w:rPr>
                <w:rFonts w:ascii="Arial" w:hAnsi="Arial" w:cs="Arial"/>
              </w:rPr>
              <w:t xml:space="preserve"> outdoor heated pool – as it prevents heat loss from the pool water to the atmosphere overnight</w:t>
            </w:r>
            <w:r w:rsidR="00EF405F">
              <w:rPr>
                <w:rFonts w:ascii="Arial" w:hAnsi="Arial" w:cs="Arial"/>
              </w:rPr>
              <w:t xml:space="preserve">. </w:t>
            </w:r>
            <w:r w:rsidRPr="002B5E95">
              <w:rPr>
                <w:rFonts w:ascii="Arial" w:hAnsi="Arial" w:cs="Arial"/>
              </w:rPr>
              <w:t>It is estimated that with correct operation of the pool covers savings of c£30k per year and annual carbon emission reduction of c66tCO</w:t>
            </w:r>
            <w:r w:rsidRPr="002B5E95">
              <w:rPr>
                <w:rFonts w:ascii="Arial" w:hAnsi="Arial" w:cs="Arial"/>
                <w:vertAlign w:val="subscript"/>
              </w:rPr>
              <w:t xml:space="preserve">2 </w:t>
            </w:r>
            <w:r w:rsidRPr="002B5E95">
              <w:rPr>
                <w:rFonts w:ascii="Arial" w:hAnsi="Arial" w:cs="Arial"/>
              </w:rPr>
              <w:t>could be achieved.</w:t>
            </w:r>
            <w:r w:rsidR="00114B96">
              <w:rPr>
                <w:rFonts w:ascii="Arial" w:hAnsi="Arial" w:cs="Arial"/>
              </w:rPr>
              <w:t xml:space="preserve"> It is proposed to fully fund the supply and installation of the pool cover using the </w:t>
            </w:r>
            <w:r w:rsidR="00DE73AA">
              <w:rPr>
                <w:rFonts w:ascii="Arial" w:hAnsi="Arial" w:cs="Arial"/>
              </w:rPr>
              <w:t xml:space="preserve">Council’s </w:t>
            </w:r>
            <w:r w:rsidR="00114B96">
              <w:rPr>
                <w:rFonts w:ascii="Arial" w:hAnsi="Arial" w:cs="Arial"/>
              </w:rPr>
              <w:t>Salix Recycling loan fund and incorporate the works within W</w:t>
            </w:r>
            <w:r w:rsidR="005A23C4">
              <w:rPr>
                <w:rFonts w:ascii="Arial" w:hAnsi="Arial" w:cs="Arial"/>
              </w:rPr>
              <w:t>i</w:t>
            </w:r>
            <w:r w:rsidR="00114B96">
              <w:rPr>
                <w:rFonts w:ascii="Arial" w:hAnsi="Arial" w:cs="Arial"/>
              </w:rPr>
              <w:t>llmot</w:t>
            </w:r>
            <w:r w:rsidR="005A23C4">
              <w:rPr>
                <w:rFonts w:ascii="Arial" w:hAnsi="Arial" w:cs="Arial"/>
              </w:rPr>
              <w:t xml:space="preserve">t </w:t>
            </w:r>
            <w:r w:rsidR="00114B96">
              <w:rPr>
                <w:rFonts w:ascii="Arial" w:hAnsi="Arial" w:cs="Arial"/>
              </w:rPr>
              <w:t xml:space="preserve">Dixon’s schedule of works under the Public Sector Decarbonisation Scheme programme. Some of the savings made from the pool cover will be used to </w:t>
            </w:r>
            <w:r w:rsidR="00DE73AA">
              <w:rPr>
                <w:rFonts w:ascii="Arial" w:hAnsi="Arial" w:cs="Arial"/>
              </w:rPr>
              <w:t>re</w:t>
            </w:r>
            <w:r w:rsidR="00114B96">
              <w:rPr>
                <w:rFonts w:ascii="Arial" w:hAnsi="Arial" w:cs="Arial"/>
              </w:rPr>
              <w:t xml:space="preserve">fund the costs for the pool cover via annual loan repayments back into the </w:t>
            </w:r>
            <w:r w:rsidR="00DE73AA">
              <w:rPr>
                <w:rFonts w:ascii="Arial" w:hAnsi="Arial" w:cs="Arial"/>
              </w:rPr>
              <w:t xml:space="preserve">Salix recycling </w:t>
            </w:r>
            <w:r w:rsidR="00114B96">
              <w:rPr>
                <w:rFonts w:ascii="Arial" w:hAnsi="Arial" w:cs="Arial"/>
              </w:rPr>
              <w:t>fund (ca75%) with the remainder of the savings from the utilities budget covering any additional staff running costs required via Fusion and annual maintenance/re</w:t>
            </w:r>
            <w:r w:rsidR="002C46A6">
              <w:rPr>
                <w:rFonts w:ascii="Arial" w:hAnsi="Arial" w:cs="Arial"/>
              </w:rPr>
              <w:t>pair costs for the pool covers.</w:t>
            </w:r>
            <w:bookmarkStart w:id="1" w:name="_GoBack"/>
            <w:bookmarkEnd w:id="1"/>
          </w:p>
        </w:tc>
      </w:tr>
      <w:tr w:rsidR="00DC2E8D" w14:paraId="668EE2B8" w14:textId="77777777" w:rsidTr="00906B19">
        <w:tc>
          <w:tcPr>
            <w:tcW w:w="2865" w:type="dxa"/>
          </w:tcPr>
          <w:p w14:paraId="1411A290" w14:textId="605A1108" w:rsidR="00DC2E8D" w:rsidRPr="008E4629" w:rsidRDefault="008E4629" w:rsidP="00906B19">
            <w:pPr>
              <w:spacing w:before="120" w:after="120"/>
              <w:rPr>
                <w:rFonts w:ascii="Arial" w:hAnsi="Arial" w:cs="Arial"/>
              </w:rPr>
            </w:pPr>
            <w:r>
              <w:rPr>
                <w:rFonts w:ascii="Arial" w:hAnsi="Arial" w:cs="Arial"/>
                <w:b/>
              </w:rPr>
              <w:t>R</w:t>
            </w:r>
            <w:r w:rsidR="00DC2E8D">
              <w:rPr>
                <w:rFonts w:ascii="Arial" w:hAnsi="Arial" w:cs="Arial"/>
                <w:b/>
              </w:rPr>
              <w:t>easons:</w:t>
            </w:r>
          </w:p>
        </w:tc>
        <w:tc>
          <w:tcPr>
            <w:tcW w:w="7059" w:type="dxa"/>
          </w:tcPr>
          <w:p w14:paraId="03961966" w14:textId="77777777" w:rsidR="00101633" w:rsidRPr="00101633" w:rsidRDefault="00101633" w:rsidP="00101633">
            <w:pPr>
              <w:rPr>
                <w:rFonts w:ascii="Arial" w:hAnsi="Arial" w:cs="Arial"/>
              </w:rPr>
            </w:pPr>
            <w:r w:rsidRPr="00101633">
              <w:rPr>
                <w:rFonts w:ascii="Arial" w:hAnsi="Arial" w:cs="Arial"/>
              </w:rPr>
              <w:t>Heating an outdoor pool without the use of a pool cover will lead to significant losses of heat overnight therefore leading to increased energy consumption and the associated carbon emissions. It is a wasteful mode of operation of the facility and not in line with the Council’s stated aims on becoming zero carbon by 2030.</w:t>
            </w:r>
          </w:p>
          <w:p w14:paraId="3059228A" w14:textId="77777777" w:rsidR="00CB5E4F" w:rsidRPr="00A96C08" w:rsidRDefault="00114B96" w:rsidP="00AC58F6">
            <w:pPr>
              <w:rPr>
                <w:rFonts w:ascii="Arial" w:hAnsi="Arial" w:cs="Arial"/>
              </w:rPr>
            </w:pPr>
            <w:r>
              <w:rPr>
                <w:rFonts w:ascii="Arial" w:hAnsi="Arial" w:cs="Arial"/>
              </w:rPr>
              <w:t xml:space="preserve">Whilst there are security/safety concerns from the installation and use of pool covers at the outdoor pools – weighing up the overall benefits and introducing reasonably practical additional measures has led to decision to proceed with the installation. The addition of the pool covers will add extra time and tasks to Fusion’s existing opening and close down routine. It is estimated by the suppliers to take approximately 30minutes to roll the covers out and a shorter/faster time to roll them in. Work </w:t>
            </w:r>
            <w:r>
              <w:rPr>
                <w:rFonts w:ascii="Arial" w:hAnsi="Arial" w:cs="Arial"/>
              </w:rPr>
              <w:lastRenderedPageBreak/>
              <w:t>at Dusk/dawn may require additional lighting to maintain existing opening hours</w:t>
            </w:r>
            <w:r w:rsidR="00EF405F">
              <w:rPr>
                <w:rFonts w:ascii="Arial" w:hAnsi="Arial" w:cs="Arial"/>
              </w:rPr>
              <w:t xml:space="preserve"> at certain times of the year (more likely during April and September)</w:t>
            </w:r>
            <w:r>
              <w:rPr>
                <w:rFonts w:ascii="Arial" w:hAnsi="Arial" w:cs="Arial"/>
              </w:rPr>
              <w:t xml:space="preserve"> – and this is being factored into the installation. </w:t>
            </w:r>
            <w:r w:rsidR="005A23C4">
              <w:rPr>
                <w:rFonts w:ascii="Arial" w:hAnsi="Arial" w:cs="Arial"/>
              </w:rPr>
              <w:t>Discussio</w:t>
            </w:r>
            <w:r>
              <w:rPr>
                <w:rFonts w:ascii="Arial" w:hAnsi="Arial" w:cs="Arial"/>
              </w:rPr>
              <w:t>n with Fusion on the current management arrangement will be required to agree operational impacts/costs and agreement around the maintenance and repair regime required to ensure long-term operation of the pool covers to achieve the estimated savings. The savings from the utility payments will be used</w:t>
            </w:r>
            <w:r w:rsidR="00F47225">
              <w:rPr>
                <w:rFonts w:ascii="Arial" w:hAnsi="Arial" w:cs="Arial"/>
              </w:rPr>
              <w:t xml:space="preserve"> to fund repair and maintenance costs. T</w:t>
            </w:r>
            <w:r>
              <w:rPr>
                <w:rFonts w:ascii="Arial" w:hAnsi="Arial" w:cs="Arial"/>
              </w:rPr>
              <w:t>he additional mitigation measures</w:t>
            </w:r>
            <w:r w:rsidR="00F47225">
              <w:rPr>
                <w:rFonts w:ascii="Arial" w:hAnsi="Arial" w:cs="Arial"/>
              </w:rPr>
              <w:t xml:space="preserve"> can be covered either within the Salix recycling fund or from the new Zero carbon transition fund</w:t>
            </w:r>
            <w:r w:rsidR="00EF405F">
              <w:rPr>
                <w:rFonts w:ascii="Arial" w:hAnsi="Arial" w:cs="Arial"/>
              </w:rPr>
              <w:t>.</w:t>
            </w:r>
            <w:r w:rsidR="00AC58F6">
              <w:rPr>
                <w:rFonts w:ascii="Arial" w:hAnsi="Arial" w:cs="Arial"/>
              </w:rPr>
              <w:t xml:space="preserve"> The nursery manager - occupying part of the </w:t>
            </w:r>
            <w:proofErr w:type="spellStart"/>
            <w:r w:rsidR="00AC58F6">
              <w:rPr>
                <w:rFonts w:ascii="Arial" w:hAnsi="Arial" w:cs="Arial"/>
              </w:rPr>
              <w:t>Hinksey</w:t>
            </w:r>
            <w:proofErr w:type="spellEnd"/>
            <w:r w:rsidR="00AC58F6">
              <w:rPr>
                <w:rFonts w:ascii="Arial" w:hAnsi="Arial" w:cs="Arial"/>
              </w:rPr>
              <w:t xml:space="preserve"> Pool building - has welcomed the proposal to improve the lower wooden fencing at the boundary of the pool and nursery play area – as that is a route through which access is gained overnight to the pool.</w:t>
            </w:r>
          </w:p>
        </w:tc>
      </w:tr>
      <w:tr w:rsidR="00B87695" w14:paraId="04B84F7F" w14:textId="77777777" w:rsidTr="00906B19">
        <w:tc>
          <w:tcPr>
            <w:tcW w:w="2865" w:type="dxa"/>
          </w:tcPr>
          <w:p w14:paraId="129C9DD7" w14:textId="271187A0" w:rsidR="00B87695" w:rsidRPr="00B87695" w:rsidRDefault="00B87695" w:rsidP="00906B19">
            <w:pPr>
              <w:spacing w:before="120" w:after="120"/>
              <w:rPr>
                <w:rFonts w:ascii="Arial" w:hAnsi="Arial" w:cs="Arial"/>
              </w:rPr>
            </w:pPr>
            <w:r w:rsidRPr="00B87695">
              <w:rPr>
                <w:rFonts w:ascii="Arial" w:hAnsi="Arial" w:cs="Arial"/>
                <w:b/>
              </w:rPr>
              <w:lastRenderedPageBreak/>
              <w:t xml:space="preserve">Decision made by: </w:t>
            </w:r>
          </w:p>
        </w:tc>
        <w:tc>
          <w:tcPr>
            <w:tcW w:w="7059" w:type="dxa"/>
          </w:tcPr>
          <w:p w14:paraId="1D5FF149" w14:textId="72EAE5E8" w:rsidR="00B87695" w:rsidRPr="00A96C08" w:rsidRDefault="002619AD" w:rsidP="008A22C6">
            <w:pPr>
              <w:rPr>
                <w:rFonts w:ascii="Arial" w:hAnsi="Arial" w:cs="Arial"/>
              </w:rPr>
            </w:pPr>
            <w:r>
              <w:rPr>
                <w:rFonts w:ascii="Arial" w:hAnsi="Arial" w:cs="Arial"/>
              </w:rPr>
              <w:t>None</w:t>
            </w:r>
          </w:p>
        </w:tc>
      </w:tr>
      <w:tr w:rsidR="006F6326" w14:paraId="688DEB1B" w14:textId="77777777" w:rsidTr="00906B19">
        <w:tc>
          <w:tcPr>
            <w:tcW w:w="2865" w:type="dxa"/>
          </w:tcPr>
          <w:p w14:paraId="2DCE63AD" w14:textId="668CDD8A" w:rsidR="006F6326" w:rsidRDefault="006F6326" w:rsidP="00906B19">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7059" w:type="dxa"/>
          </w:tcPr>
          <w:p w14:paraId="61D2A196" w14:textId="77777777" w:rsidR="00263039" w:rsidRPr="00A96C08" w:rsidRDefault="002B5E95" w:rsidP="00EF405F">
            <w:pPr>
              <w:rPr>
                <w:rFonts w:ascii="Arial" w:hAnsi="Arial" w:cs="Arial"/>
              </w:rPr>
            </w:pPr>
            <w:r>
              <w:rPr>
                <w:rFonts w:ascii="Arial" w:hAnsi="Arial" w:cs="Arial"/>
              </w:rPr>
              <w:t xml:space="preserve">The alternative would be not </w:t>
            </w:r>
            <w:r w:rsidR="00EF405F">
              <w:rPr>
                <w:rFonts w:ascii="Arial" w:hAnsi="Arial" w:cs="Arial"/>
              </w:rPr>
              <w:t xml:space="preserve">to </w:t>
            </w:r>
            <w:r>
              <w:rPr>
                <w:rFonts w:ascii="Arial" w:hAnsi="Arial" w:cs="Arial"/>
              </w:rPr>
              <w:t>install the pool covers</w:t>
            </w:r>
            <w:r w:rsidR="005A23C4">
              <w:rPr>
                <w:rFonts w:ascii="Arial" w:hAnsi="Arial" w:cs="Arial"/>
              </w:rPr>
              <w:t>, and not to take the carbon and financial savings this can deliver</w:t>
            </w:r>
            <w:r>
              <w:rPr>
                <w:rFonts w:ascii="Arial" w:hAnsi="Arial" w:cs="Arial"/>
              </w:rPr>
              <w:t xml:space="preserve">. </w:t>
            </w:r>
            <w:r w:rsidR="005A23C4">
              <w:rPr>
                <w:rFonts w:ascii="Arial" w:hAnsi="Arial" w:cs="Arial"/>
              </w:rPr>
              <w:t>(</w:t>
            </w:r>
            <w:r w:rsidR="00DE73AA">
              <w:rPr>
                <w:rFonts w:ascii="Arial" w:hAnsi="Arial" w:cs="Arial"/>
              </w:rPr>
              <w:t xml:space="preserve">See above </w:t>
            </w:r>
            <w:r w:rsidR="00EF405F">
              <w:rPr>
                <w:rFonts w:ascii="Arial" w:hAnsi="Arial" w:cs="Arial"/>
              </w:rPr>
              <w:t xml:space="preserve">Purpose and Reasons sections above </w:t>
            </w:r>
            <w:r w:rsidR="00DE73AA">
              <w:rPr>
                <w:rFonts w:ascii="Arial" w:hAnsi="Arial" w:cs="Arial"/>
              </w:rPr>
              <w:t>why the decision is being taken to install the pool covers.</w:t>
            </w:r>
            <w:r w:rsidR="005A23C4">
              <w:rPr>
                <w:rFonts w:ascii="Arial" w:hAnsi="Arial" w:cs="Arial"/>
              </w:rPr>
              <w:t>) This was rejected as it is not consistent with the Council’s strategy to decarbonise its assets and increase its operating efficiency.</w:t>
            </w:r>
          </w:p>
        </w:tc>
      </w:tr>
      <w:tr w:rsidR="006F6326" w14:paraId="20178004" w14:textId="77777777" w:rsidTr="00906B19">
        <w:trPr>
          <w:trHeight w:val="612"/>
        </w:trPr>
        <w:tc>
          <w:tcPr>
            <w:tcW w:w="2865" w:type="dxa"/>
          </w:tcPr>
          <w:p w14:paraId="27814F11" w14:textId="451BDDDC" w:rsidR="00C678ED" w:rsidRPr="00C678ED" w:rsidRDefault="006F6326" w:rsidP="00906B19">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7059" w:type="dxa"/>
          </w:tcPr>
          <w:p w14:paraId="26C2F401" w14:textId="0B7BBB58" w:rsidR="006F6326" w:rsidRPr="00A96C08" w:rsidRDefault="00906B19" w:rsidP="008A22C6">
            <w:pPr>
              <w:rPr>
                <w:rFonts w:ascii="Arial" w:hAnsi="Arial" w:cs="Arial"/>
              </w:rPr>
            </w:pPr>
            <w:r>
              <w:rPr>
                <w:rFonts w:ascii="Arial" w:hAnsi="Arial" w:cs="Arial"/>
              </w:rPr>
              <w:t>None</w:t>
            </w:r>
          </w:p>
        </w:tc>
      </w:tr>
      <w:tr w:rsidR="006F6326" w14:paraId="7CCCBEAD" w14:textId="77777777" w:rsidTr="00906B19">
        <w:tc>
          <w:tcPr>
            <w:tcW w:w="2865" w:type="dxa"/>
          </w:tcPr>
          <w:p w14:paraId="4096CF07" w14:textId="591B1BE2" w:rsidR="003505E0" w:rsidRDefault="003505E0" w:rsidP="00906B19">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7059" w:type="dxa"/>
          </w:tcPr>
          <w:p w14:paraId="74911482" w14:textId="77777777" w:rsidR="006F6326" w:rsidRPr="00A96C08" w:rsidRDefault="002B5E95" w:rsidP="008A22C6">
            <w:pPr>
              <w:rPr>
                <w:rFonts w:ascii="Arial" w:hAnsi="Arial" w:cs="Arial"/>
              </w:rPr>
            </w:pPr>
            <w:r>
              <w:rPr>
                <w:rFonts w:ascii="Arial" w:hAnsi="Arial" w:cs="Arial"/>
              </w:rPr>
              <w:t>Not key</w:t>
            </w:r>
          </w:p>
        </w:tc>
      </w:tr>
      <w:tr w:rsidR="006F6326" w14:paraId="78B3107B" w14:textId="77777777" w:rsidTr="00906B19">
        <w:tc>
          <w:tcPr>
            <w:tcW w:w="2865" w:type="dxa"/>
          </w:tcPr>
          <w:p w14:paraId="55BBF200" w14:textId="24CECC74" w:rsidR="006F6326" w:rsidRPr="008E4629" w:rsidRDefault="006F6326" w:rsidP="00906B19">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7059" w:type="dxa"/>
          </w:tcPr>
          <w:p w14:paraId="263FCD48" w14:textId="77777777" w:rsidR="006F6326" w:rsidRPr="00A96C08" w:rsidRDefault="005A23C4" w:rsidP="008A22C6">
            <w:pPr>
              <w:rPr>
                <w:rFonts w:ascii="Arial" w:hAnsi="Arial" w:cs="Arial"/>
              </w:rPr>
            </w:pPr>
            <w:r>
              <w:rPr>
                <w:rFonts w:ascii="Arial" w:hAnsi="Arial" w:cs="Arial"/>
              </w:rPr>
              <w:t xml:space="preserve">The installation is in </w:t>
            </w:r>
            <w:proofErr w:type="spellStart"/>
            <w:r>
              <w:rPr>
                <w:rFonts w:ascii="Arial" w:hAnsi="Arial" w:cs="Arial"/>
              </w:rPr>
              <w:t>Hinksey</w:t>
            </w:r>
            <w:proofErr w:type="spellEnd"/>
            <w:r>
              <w:rPr>
                <w:rFonts w:ascii="Arial" w:hAnsi="Arial" w:cs="Arial"/>
              </w:rPr>
              <w:t xml:space="preserve"> Park ward, however it is not deemed to have a significant </w:t>
            </w:r>
            <w:proofErr w:type="spellStart"/>
            <w:r>
              <w:rPr>
                <w:rFonts w:ascii="Arial" w:hAnsi="Arial" w:cs="Arial"/>
              </w:rPr>
              <w:t>affect</w:t>
            </w:r>
            <w:proofErr w:type="spellEnd"/>
            <w:r>
              <w:rPr>
                <w:rFonts w:ascii="Arial" w:hAnsi="Arial" w:cs="Arial"/>
              </w:rPr>
              <w:t xml:space="preserve"> on the ward.</w:t>
            </w:r>
          </w:p>
        </w:tc>
      </w:tr>
      <w:tr w:rsidR="006F6326" w14:paraId="53BB9297" w14:textId="77777777" w:rsidTr="00906B19">
        <w:tc>
          <w:tcPr>
            <w:tcW w:w="2865" w:type="dxa"/>
          </w:tcPr>
          <w:p w14:paraId="088C29E9" w14:textId="2C864917" w:rsidR="006F6326" w:rsidRPr="006F6326" w:rsidRDefault="006F6326" w:rsidP="00906B1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7059" w:type="dxa"/>
          </w:tcPr>
          <w:p w14:paraId="0430806D" w14:textId="685D8235" w:rsidR="006F6326" w:rsidRPr="00A96C08" w:rsidRDefault="00906B19" w:rsidP="008A22C6">
            <w:pPr>
              <w:rPr>
                <w:rFonts w:ascii="Arial" w:hAnsi="Arial" w:cs="Arial"/>
              </w:rPr>
            </w:pPr>
            <w:r>
              <w:rPr>
                <w:rFonts w:ascii="Arial" w:hAnsi="Arial" w:cs="Arial"/>
              </w:rPr>
              <w:t>None</w:t>
            </w:r>
          </w:p>
        </w:tc>
      </w:tr>
      <w:tr w:rsidR="00B87695" w14:paraId="31E3225E" w14:textId="77777777" w:rsidTr="00906B19">
        <w:tc>
          <w:tcPr>
            <w:tcW w:w="2865" w:type="dxa"/>
          </w:tcPr>
          <w:p w14:paraId="5DF37F26"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6161BBE8" w14:textId="77777777" w:rsidR="003505E0" w:rsidRDefault="003505E0" w:rsidP="003505E0">
            <w:pPr>
              <w:spacing w:before="120"/>
              <w:rPr>
                <w:rFonts w:ascii="Arial" w:hAnsi="Arial" w:cs="Arial"/>
                <w:b/>
              </w:rPr>
            </w:pPr>
            <w:r w:rsidRPr="003505E0">
              <w:rPr>
                <w:rFonts w:ascii="Arial" w:hAnsi="Arial" w:cs="Arial"/>
                <w:b/>
              </w:rPr>
              <w:t>Name &amp; title:</w:t>
            </w:r>
          </w:p>
          <w:p w14:paraId="7D728AB8" w14:textId="77777777" w:rsidR="003505E0" w:rsidRDefault="003505E0" w:rsidP="00AC5899">
            <w:pPr>
              <w:spacing w:before="120" w:after="120"/>
              <w:rPr>
                <w:rFonts w:ascii="Arial" w:hAnsi="Arial" w:cs="Arial"/>
                <w:b/>
              </w:rPr>
            </w:pPr>
            <w:r w:rsidRPr="003505E0">
              <w:rPr>
                <w:rFonts w:ascii="Arial" w:hAnsi="Arial" w:cs="Arial"/>
                <w:b/>
              </w:rPr>
              <w:t>Date:</w:t>
            </w:r>
          </w:p>
        </w:tc>
        <w:tc>
          <w:tcPr>
            <w:tcW w:w="7059" w:type="dxa"/>
          </w:tcPr>
          <w:p w14:paraId="2E40B413" w14:textId="77777777" w:rsidR="005A23C4" w:rsidRDefault="005A23C4" w:rsidP="008A22C6">
            <w:pPr>
              <w:rPr>
                <w:rFonts w:ascii="Arial" w:hAnsi="Arial" w:cs="Arial"/>
              </w:rPr>
            </w:pPr>
          </w:p>
          <w:p w14:paraId="22B2EE76" w14:textId="77777777" w:rsidR="005A23C4" w:rsidRDefault="005A23C4" w:rsidP="008A22C6">
            <w:pPr>
              <w:rPr>
                <w:rFonts w:ascii="Arial" w:hAnsi="Arial" w:cs="Arial"/>
              </w:rPr>
            </w:pPr>
            <w:r>
              <w:rPr>
                <w:rFonts w:ascii="Arial" w:hAnsi="Arial" w:cs="Arial"/>
              </w:rPr>
              <w:t>Paul Spencer, Energy &amp; Carbon Manager</w:t>
            </w:r>
          </w:p>
          <w:p w14:paraId="4572E5FB" w14:textId="77777777" w:rsidR="005A23C4" w:rsidRDefault="005A23C4" w:rsidP="008A22C6">
            <w:pPr>
              <w:rPr>
                <w:rFonts w:ascii="Arial" w:hAnsi="Arial" w:cs="Arial"/>
              </w:rPr>
            </w:pPr>
          </w:p>
          <w:p w14:paraId="63EDB91B" w14:textId="77777777" w:rsidR="005A23C4" w:rsidRPr="00A96C08" w:rsidRDefault="005A23C4" w:rsidP="008A22C6">
            <w:pPr>
              <w:rPr>
                <w:rFonts w:ascii="Arial" w:hAnsi="Arial" w:cs="Arial"/>
              </w:rPr>
            </w:pPr>
            <w:r>
              <w:rPr>
                <w:rFonts w:ascii="Arial" w:hAnsi="Arial" w:cs="Arial"/>
              </w:rPr>
              <w:t>14/12/2021</w:t>
            </w:r>
          </w:p>
        </w:tc>
      </w:tr>
    </w:tbl>
    <w:p w14:paraId="71AA36A7" w14:textId="77777777" w:rsidR="002611EB" w:rsidRDefault="002611EB" w:rsidP="008A22C6"/>
    <w:p w14:paraId="29FFA1F3" w14:textId="77777777" w:rsidR="005C60B2" w:rsidRDefault="005C60B2" w:rsidP="008A22C6"/>
    <w:p w14:paraId="4EF4B5BA"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1CEC813B"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17710C00" w14:textId="77777777" w:rsidTr="00FA34FE">
        <w:trPr>
          <w:trHeight w:val="516"/>
        </w:trPr>
        <w:tc>
          <w:tcPr>
            <w:tcW w:w="2836" w:type="dxa"/>
          </w:tcPr>
          <w:p w14:paraId="3826740C"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363ED25E"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23192A1B"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67A92135" w14:textId="77777777" w:rsidTr="00FA34FE">
        <w:trPr>
          <w:trHeight w:val="516"/>
        </w:trPr>
        <w:tc>
          <w:tcPr>
            <w:tcW w:w="2836" w:type="dxa"/>
            <w:vAlign w:val="center"/>
          </w:tcPr>
          <w:p w14:paraId="66E62CB2"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274D9A8F" w14:textId="6227FA67" w:rsidR="005C60B2" w:rsidRPr="005C60B2" w:rsidRDefault="005C60B2" w:rsidP="005C60B2">
            <w:pPr>
              <w:spacing w:before="120" w:after="120"/>
              <w:rPr>
                <w:rFonts w:ascii="Arial" w:hAnsi="Arial" w:cs="Arial"/>
              </w:rPr>
            </w:pPr>
          </w:p>
        </w:tc>
        <w:tc>
          <w:tcPr>
            <w:tcW w:w="5103" w:type="dxa"/>
            <w:vAlign w:val="center"/>
          </w:tcPr>
          <w:p w14:paraId="0B70D602" w14:textId="658714D1" w:rsidR="00906B19" w:rsidRDefault="00906B19" w:rsidP="005C60B2">
            <w:pPr>
              <w:rPr>
                <w:rFonts w:ascii="Arial" w:hAnsi="Arial" w:cs="Arial"/>
              </w:rPr>
            </w:pPr>
            <w:r>
              <w:rPr>
                <w:rFonts w:ascii="Arial" w:hAnsi="Arial" w:cs="Arial"/>
                <w:noProof/>
              </w:rPr>
              <w:drawing>
                <wp:inline distT="0" distB="0" distL="0" distR="0" wp14:anchorId="0EF06EF0" wp14:editId="57EE2179">
                  <wp:extent cx="181038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725170"/>
                          </a:xfrm>
                          <a:prstGeom prst="rect">
                            <a:avLst/>
                          </a:prstGeom>
                          <a:noFill/>
                        </pic:spPr>
                      </pic:pic>
                    </a:graphicData>
                  </a:graphic>
                </wp:inline>
              </w:drawing>
            </w:r>
          </w:p>
          <w:p w14:paraId="672F1705" w14:textId="44E47532" w:rsidR="00906B19" w:rsidRPr="005C60B2" w:rsidRDefault="002B5E95" w:rsidP="005C60B2">
            <w:pPr>
              <w:rPr>
                <w:rFonts w:ascii="Arial" w:hAnsi="Arial" w:cs="Arial"/>
              </w:rPr>
            </w:pPr>
            <w:proofErr w:type="spellStart"/>
            <w:r>
              <w:rPr>
                <w:rFonts w:ascii="Arial" w:hAnsi="Arial" w:cs="Arial"/>
              </w:rPr>
              <w:t>Mish</w:t>
            </w:r>
            <w:proofErr w:type="spellEnd"/>
            <w:r>
              <w:rPr>
                <w:rFonts w:ascii="Arial" w:hAnsi="Arial" w:cs="Arial"/>
              </w:rPr>
              <w:t xml:space="preserve"> </w:t>
            </w:r>
            <w:proofErr w:type="spellStart"/>
            <w:r>
              <w:rPr>
                <w:rFonts w:ascii="Arial" w:hAnsi="Arial" w:cs="Arial"/>
              </w:rPr>
              <w:t>Tullar</w:t>
            </w:r>
            <w:proofErr w:type="spellEnd"/>
            <w:r>
              <w:rPr>
                <w:rFonts w:ascii="Arial" w:hAnsi="Arial" w:cs="Arial"/>
              </w:rPr>
              <w:t>, Head of Corporate Strategy</w:t>
            </w:r>
          </w:p>
        </w:tc>
        <w:tc>
          <w:tcPr>
            <w:tcW w:w="1984" w:type="dxa"/>
            <w:vAlign w:val="center"/>
          </w:tcPr>
          <w:p w14:paraId="14930811" w14:textId="77777777" w:rsidR="005C60B2" w:rsidRPr="005C60B2" w:rsidRDefault="005A23C4" w:rsidP="005C60B2">
            <w:pPr>
              <w:rPr>
                <w:rFonts w:ascii="Arial" w:hAnsi="Arial" w:cs="Arial"/>
              </w:rPr>
            </w:pPr>
            <w:r>
              <w:rPr>
                <w:rFonts w:ascii="Arial" w:hAnsi="Arial" w:cs="Arial"/>
              </w:rPr>
              <w:t>14/12/2021</w:t>
            </w:r>
          </w:p>
        </w:tc>
      </w:tr>
    </w:tbl>
    <w:p w14:paraId="086EE160" w14:textId="77777777" w:rsidR="002C46A6" w:rsidRDefault="002C46A6" w:rsidP="005C60B2">
      <w:pPr>
        <w:rPr>
          <w:rFonts w:ascii="Arial" w:hAnsi="Arial" w:cs="Arial"/>
        </w:rPr>
      </w:pPr>
    </w:p>
    <w:p w14:paraId="60B06D34" w14:textId="1081B8E0" w:rsidR="002C46A6" w:rsidRDefault="002C46A6" w:rsidP="002C46A6">
      <w:pPr>
        <w:rPr>
          <w:rFonts w:ascii="Arial" w:hAnsi="Arial" w:cs="Arial"/>
          <w:b/>
        </w:rPr>
      </w:pPr>
      <w:r>
        <w:rPr>
          <w:rFonts w:ascii="Arial" w:hAnsi="Arial" w:cs="Arial"/>
          <w:b/>
        </w:rPr>
        <w:t>Consultee</w:t>
      </w:r>
      <w:r>
        <w:rPr>
          <w:rFonts w:ascii="Arial" w:hAnsi="Arial" w:cs="Arial"/>
          <w:b/>
        </w:rPr>
        <w:t xml:space="preserve"> checklist </w:t>
      </w:r>
    </w:p>
    <w:p w14:paraId="6B5A5AF3" w14:textId="77777777" w:rsidR="002C46A6" w:rsidRPr="005C60B2" w:rsidRDefault="002C46A6" w:rsidP="002C46A6">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2C46A6" w:rsidRPr="005C60B2" w14:paraId="49BF0B6C" w14:textId="77777777" w:rsidTr="00122D19">
        <w:trPr>
          <w:trHeight w:val="516"/>
        </w:trPr>
        <w:tc>
          <w:tcPr>
            <w:tcW w:w="2836" w:type="dxa"/>
          </w:tcPr>
          <w:p w14:paraId="04600E2C" w14:textId="77777777" w:rsidR="002C46A6" w:rsidRPr="005C60B2" w:rsidRDefault="002C46A6" w:rsidP="00122D19">
            <w:pPr>
              <w:spacing w:before="120" w:after="120"/>
              <w:rPr>
                <w:rFonts w:ascii="Arial" w:hAnsi="Arial" w:cs="Arial"/>
                <w:b/>
                <w:i/>
              </w:rPr>
            </w:pPr>
            <w:r w:rsidRPr="005C60B2">
              <w:rPr>
                <w:rFonts w:ascii="Arial" w:hAnsi="Arial" w:cs="Arial"/>
                <w:b/>
                <w:i/>
              </w:rPr>
              <w:t>Approver</w:t>
            </w:r>
          </w:p>
        </w:tc>
        <w:tc>
          <w:tcPr>
            <w:tcW w:w="5103" w:type="dxa"/>
            <w:vAlign w:val="center"/>
          </w:tcPr>
          <w:p w14:paraId="740C650E" w14:textId="77777777" w:rsidR="002C46A6" w:rsidRPr="005C60B2" w:rsidRDefault="002C46A6" w:rsidP="00122D19">
            <w:pPr>
              <w:rPr>
                <w:rFonts w:ascii="Arial" w:hAnsi="Arial" w:cs="Arial"/>
                <w:b/>
                <w:i/>
              </w:rPr>
            </w:pPr>
            <w:r w:rsidRPr="005C60B2">
              <w:rPr>
                <w:rFonts w:ascii="Arial" w:hAnsi="Arial" w:cs="Arial"/>
                <w:b/>
                <w:i/>
              </w:rPr>
              <w:t>Name and job title</w:t>
            </w:r>
          </w:p>
        </w:tc>
        <w:tc>
          <w:tcPr>
            <w:tcW w:w="1984" w:type="dxa"/>
            <w:vAlign w:val="center"/>
          </w:tcPr>
          <w:p w14:paraId="1A8DB756" w14:textId="77777777" w:rsidR="002C46A6" w:rsidRPr="005C60B2" w:rsidRDefault="002C46A6" w:rsidP="00122D19">
            <w:pPr>
              <w:rPr>
                <w:rFonts w:ascii="Arial" w:hAnsi="Arial" w:cs="Arial"/>
                <w:b/>
                <w:i/>
              </w:rPr>
            </w:pPr>
            <w:r w:rsidRPr="005C60B2">
              <w:rPr>
                <w:rFonts w:ascii="Arial" w:hAnsi="Arial" w:cs="Arial"/>
                <w:b/>
                <w:i/>
              </w:rPr>
              <w:t xml:space="preserve">Date </w:t>
            </w:r>
          </w:p>
        </w:tc>
      </w:tr>
      <w:tr w:rsidR="002C46A6" w:rsidRPr="005C60B2" w14:paraId="0FAA363E" w14:textId="77777777" w:rsidTr="00122D19">
        <w:trPr>
          <w:trHeight w:val="516"/>
        </w:trPr>
        <w:tc>
          <w:tcPr>
            <w:tcW w:w="2836" w:type="dxa"/>
            <w:vAlign w:val="center"/>
          </w:tcPr>
          <w:p w14:paraId="41261C61" w14:textId="3CE60BA8" w:rsidR="002C46A6" w:rsidRDefault="002C46A6" w:rsidP="00122D19">
            <w:pPr>
              <w:spacing w:before="120" w:after="120"/>
              <w:rPr>
                <w:rFonts w:ascii="Arial" w:hAnsi="Arial" w:cs="Arial"/>
                <w:b/>
              </w:rPr>
            </w:pPr>
            <w:r>
              <w:rPr>
                <w:rFonts w:ascii="Arial" w:hAnsi="Arial" w:cs="Arial"/>
                <w:b/>
              </w:rPr>
              <w:t>Cabinet Members</w:t>
            </w:r>
          </w:p>
          <w:p w14:paraId="6E1B8F86" w14:textId="77777777" w:rsidR="002C46A6" w:rsidRPr="005C60B2" w:rsidRDefault="002C46A6" w:rsidP="00122D19">
            <w:pPr>
              <w:spacing w:before="120" w:after="120"/>
              <w:rPr>
                <w:rFonts w:ascii="Arial" w:hAnsi="Arial" w:cs="Arial"/>
              </w:rPr>
            </w:pPr>
          </w:p>
        </w:tc>
        <w:tc>
          <w:tcPr>
            <w:tcW w:w="5103" w:type="dxa"/>
            <w:vAlign w:val="center"/>
          </w:tcPr>
          <w:p w14:paraId="325E032A" w14:textId="5B114679" w:rsidR="002C46A6" w:rsidRDefault="002C46A6" w:rsidP="00122D19">
            <w:pPr>
              <w:rPr>
                <w:rFonts w:ascii="Arial" w:hAnsi="Arial" w:cs="Arial"/>
              </w:rPr>
            </w:pPr>
            <w:r>
              <w:rPr>
                <w:rFonts w:ascii="Arial" w:hAnsi="Arial" w:cs="Arial"/>
              </w:rPr>
              <w:t>Councillor Susan Brown, Leader</w:t>
            </w:r>
          </w:p>
          <w:p w14:paraId="40C96C1E" w14:textId="77777777" w:rsidR="002C46A6" w:rsidRDefault="002C46A6" w:rsidP="00122D19">
            <w:pPr>
              <w:rPr>
                <w:rFonts w:ascii="Arial" w:hAnsi="Arial" w:cs="Arial"/>
              </w:rPr>
            </w:pPr>
          </w:p>
          <w:p w14:paraId="2CCF0CA8" w14:textId="5036D9DC" w:rsidR="002C46A6" w:rsidRDefault="002C46A6" w:rsidP="00122D19">
            <w:pPr>
              <w:rPr>
                <w:rFonts w:ascii="Arial" w:hAnsi="Arial" w:cs="Arial"/>
              </w:rPr>
            </w:pPr>
            <w:r>
              <w:rPr>
                <w:rFonts w:ascii="Arial" w:hAnsi="Arial" w:cs="Arial"/>
              </w:rPr>
              <w:t>Councillor Tom Hayes, Cabinet Member for Green Transport and Zero Carbon Oxford</w:t>
            </w:r>
          </w:p>
          <w:p w14:paraId="5BAC22EB" w14:textId="7A59B890" w:rsidR="002C46A6" w:rsidRPr="005C60B2" w:rsidRDefault="002C46A6" w:rsidP="00122D19">
            <w:pPr>
              <w:rPr>
                <w:rFonts w:ascii="Arial" w:hAnsi="Arial" w:cs="Arial"/>
              </w:rPr>
            </w:pPr>
          </w:p>
        </w:tc>
        <w:tc>
          <w:tcPr>
            <w:tcW w:w="1984" w:type="dxa"/>
            <w:vAlign w:val="center"/>
          </w:tcPr>
          <w:p w14:paraId="75C48834" w14:textId="60D3EADD" w:rsidR="002C46A6" w:rsidRPr="005C60B2" w:rsidRDefault="002C46A6" w:rsidP="00122D19">
            <w:pPr>
              <w:rPr>
                <w:rFonts w:ascii="Arial" w:hAnsi="Arial" w:cs="Arial"/>
              </w:rPr>
            </w:pPr>
            <w:r>
              <w:rPr>
                <w:rFonts w:ascii="Arial" w:hAnsi="Arial" w:cs="Arial"/>
              </w:rPr>
              <w:t>1 December 2021</w:t>
            </w:r>
          </w:p>
        </w:tc>
      </w:tr>
    </w:tbl>
    <w:p w14:paraId="20C8DF7E" w14:textId="0A45A4C7" w:rsidR="002C46A6" w:rsidRDefault="002C46A6" w:rsidP="005C60B2">
      <w:pPr>
        <w:rPr>
          <w:rFonts w:ascii="Arial" w:hAnsi="Arial" w:cs="Arial"/>
        </w:rPr>
      </w:pPr>
    </w:p>
    <w:sectPr w:rsidR="002C46A6"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C3F89" w14:textId="77777777" w:rsidR="001352E3" w:rsidRDefault="001352E3" w:rsidP="00F11FD1">
      <w:r>
        <w:separator/>
      </w:r>
    </w:p>
  </w:endnote>
  <w:endnote w:type="continuationSeparator" w:id="0">
    <w:p w14:paraId="0ED26DFE" w14:textId="77777777" w:rsidR="001352E3" w:rsidRDefault="001352E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E250" w14:textId="77777777" w:rsidR="00C6130E" w:rsidRDefault="00C6130E" w:rsidP="00F11FD1">
    <w:pPr>
      <w:pStyle w:val="Footer"/>
      <w:jc w:val="center"/>
      <w:rPr>
        <w:rFonts w:ascii="Arial" w:hAnsi="Arial" w:cs="Arial"/>
        <w:b/>
      </w:rPr>
    </w:pPr>
  </w:p>
  <w:p w14:paraId="442303A2" w14:textId="4FE88A61" w:rsidR="00F11FD1" w:rsidRDefault="00F11FD1" w:rsidP="00F11FD1">
    <w:pPr>
      <w:pStyle w:val="Footer"/>
      <w:jc w:val="center"/>
      <w:rPr>
        <w:rFonts w:ascii="Arial" w:hAnsi="Arial" w:cs="Arial"/>
        <w:b/>
      </w:rPr>
    </w:pPr>
  </w:p>
  <w:p w14:paraId="0E4F3F43"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26C8C" w14:textId="77777777" w:rsidR="001352E3" w:rsidRDefault="001352E3" w:rsidP="00F11FD1">
      <w:r>
        <w:separator/>
      </w:r>
    </w:p>
  </w:footnote>
  <w:footnote w:type="continuationSeparator" w:id="0">
    <w:p w14:paraId="1F47C299" w14:textId="77777777" w:rsidR="001352E3" w:rsidRDefault="001352E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F401B"/>
    <w:multiLevelType w:val="hybridMultilevel"/>
    <w:tmpl w:val="221010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30/12/2021 17:29"/>
  </w:docVars>
  <w:rsids>
    <w:rsidRoot w:val="00BE1FD4"/>
    <w:rsid w:val="000173BF"/>
    <w:rsid w:val="00036B9E"/>
    <w:rsid w:val="000445D4"/>
    <w:rsid w:val="0005774E"/>
    <w:rsid w:val="0008133A"/>
    <w:rsid w:val="000B4310"/>
    <w:rsid w:val="000B4FDD"/>
    <w:rsid w:val="000E42BD"/>
    <w:rsid w:val="000F4239"/>
    <w:rsid w:val="00101633"/>
    <w:rsid w:val="00114B96"/>
    <w:rsid w:val="001352E3"/>
    <w:rsid w:val="00231385"/>
    <w:rsid w:val="002566B4"/>
    <w:rsid w:val="002611EB"/>
    <w:rsid w:val="002619AD"/>
    <w:rsid w:val="00263039"/>
    <w:rsid w:val="002A07C9"/>
    <w:rsid w:val="002A46E1"/>
    <w:rsid w:val="002B53D4"/>
    <w:rsid w:val="002B5E95"/>
    <w:rsid w:val="002C46A6"/>
    <w:rsid w:val="002E61DD"/>
    <w:rsid w:val="00335A9B"/>
    <w:rsid w:val="003505E0"/>
    <w:rsid w:val="003547CD"/>
    <w:rsid w:val="00361B32"/>
    <w:rsid w:val="00373F5D"/>
    <w:rsid w:val="003B1236"/>
    <w:rsid w:val="003B6EFE"/>
    <w:rsid w:val="004000D7"/>
    <w:rsid w:val="00405321"/>
    <w:rsid w:val="00424A92"/>
    <w:rsid w:val="0044031E"/>
    <w:rsid w:val="004A049B"/>
    <w:rsid w:val="004B1944"/>
    <w:rsid w:val="00504E43"/>
    <w:rsid w:val="00532DF2"/>
    <w:rsid w:val="005A23C4"/>
    <w:rsid w:val="005C60B2"/>
    <w:rsid w:val="005C6416"/>
    <w:rsid w:val="005E37E4"/>
    <w:rsid w:val="00616F3F"/>
    <w:rsid w:val="006247C4"/>
    <w:rsid w:val="006F6326"/>
    <w:rsid w:val="006F6731"/>
    <w:rsid w:val="007023AB"/>
    <w:rsid w:val="007908F4"/>
    <w:rsid w:val="007D270E"/>
    <w:rsid w:val="00801BEB"/>
    <w:rsid w:val="00804BF2"/>
    <w:rsid w:val="00834D72"/>
    <w:rsid w:val="00844D21"/>
    <w:rsid w:val="00854133"/>
    <w:rsid w:val="008613FB"/>
    <w:rsid w:val="008676E5"/>
    <w:rsid w:val="008900A7"/>
    <w:rsid w:val="00891B19"/>
    <w:rsid w:val="008A22C6"/>
    <w:rsid w:val="008E4629"/>
    <w:rsid w:val="00906B19"/>
    <w:rsid w:val="00986C99"/>
    <w:rsid w:val="009D267F"/>
    <w:rsid w:val="009F048F"/>
    <w:rsid w:val="009F6401"/>
    <w:rsid w:val="00A12928"/>
    <w:rsid w:val="00A253FE"/>
    <w:rsid w:val="00A96C08"/>
    <w:rsid w:val="00AC5899"/>
    <w:rsid w:val="00AC58F6"/>
    <w:rsid w:val="00B15340"/>
    <w:rsid w:val="00B25674"/>
    <w:rsid w:val="00B5185D"/>
    <w:rsid w:val="00B87695"/>
    <w:rsid w:val="00B928EF"/>
    <w:rsid w:val="00BD4490"/>
    <w:rsid w:val="00BE1FD4"/>
    <w:rsid w:val="00BF240D"/>
    <w:rsid w:val="00C07F80"/>
    <w:rsid w:val="00C251F7"/>
    <w:rsid w:val="00C6130E"/>
    <w:rsid w:val="00C678ED"/>
    <w:rsid w:val="00CB5E4F"/>
    <w:rsid w:val="00CD4BC9"/>
    <w:rsid w:val="00CE6085"/>
    <w:rsid w:val="00D33F83"/>
    <w:rsid w:val="00D34B52"/>
    <w:rsid w:val="00D543D9"/>
    <w:rsid w:val="00DB01D4"/>
    <w:rsid w:val="00DC2E8D"/>
    <w:rsid w:val="00DD1A34"/>
    <w:rsid w:val="00DD4885"/>
    <w:rsid w:val="00DD51B2"/>
    <w:rsid w:val="00DE73AA"/>
    <w:rsid w:val="00E127E3"/>
    <w:rsid w:val="00E20A54"/>
    <w:rsid w:val="00E270E5"/>
    <w:rsid w:val="00E41845"/>
    <w:rsid w:val="00E97F84"/>
    <w:rsid w:val="00EF405F"/>
    <w:rsid w:val="00F11FD1"/>
    <w:rsid w:val="00F1363D"/>
    <w:rsid w:val="00F47225"/>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23A1"/>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363D"/>
    <w:rPr>
      <w:sz w:val="16"/>
      <w:szCs w:val="16"/>
    </w:rPr>
  </w:style>
  <w:style w:type="paragraph" w:styleId="CommentText">
    <w:name w:val="annotation text"/>
    <w:basedOn w:val="Normal"/>
    <w:link w:val="CommentTextChar"/>
    <w:uiPriority w:val="99"/>
    <w:semiHidden/>
    <w:unhideWhenUsed/>
    <w:rsid w:val="00F1363D"/>
    <w:rPr>
      <w:sz w:val="20"/>
      <w:szCs w:val="20"/>
    </w:rPr>
  </w:style>
  <w:style w:type="character" w:customStyle="1" w:styleId="CommentTextChar">
    <w:name w:val="Comment Text Char"/>
    <w:basedOn w:val="DefaultParagraphFont"/>
    <w:link w:val="CommentText"/>
    <w:uiPriority w:val="99"/>
    <w:semiHidden/>
    <w:rsid w:val="00F1363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363D"/>
    <w:rPr>
      <w:b/>
      <w:bCs/>
    </w:rPr>
  </w:style>
  <w:style w:type="character" w:customStyle="1" w:styleId="CommentSubjectChar">
    <w:name w:val="Comment Subject Char"/>
    <w:basedOn w:val="CommentTextChar"/>
    <w:link w:val="CommentSubject"/>
    <w:uiPriority w:val="99"/>
    <w:semiHidden/>
    <w:rsid w:val="00F1363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2483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72E0-8560-49FA-9D59-18F8C7B7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BROWN Andrew J</cp:lastModifiedBy>
  <cp:revision>6</cp:revision>
  <cp:lastPrinted>2015-07-27T09:35:00Z</cp:lastPrinted>
  <dcterms:created xsi:type="dcterms:W3CDTF">2022-01-05T15:17:00Z</dcterms:created>
  <dcterms:modified xsi:type="dcterms:W3CDTF">2022-01-06T09:49:00Z</dcterms:modified>
</cp:coreProperties>
</file>